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9E" w:rsidRPr="0067704C" w:rsidRDefault="005E129E" w:rsidP="005E129E">
      <w:pPr>
        <w:spacing w:after="0" w:line="360" w:lineRule="atLeast"/>
        <w:outlineLvl w:val="2"/>
        <w:rPr>
          <w:rFonts w:eastAsia="Times New Roman" w:cs="Times New Roman"/>
          <w:b/>
          <w:bCs/>
          <w:sz w:val="48"/>
          <w:szCs w:val="48"/>
          <w:u w:val="single"/>
          <w:lang w:eastAsia="en-GB"/>
        </w:rPr>
      </w:pPr>
      <w:r w:rsidRPr="0067704C">
        <w:rPr>
          <w:rFonts w:eastAsia="Times New Roman" w:cs="Times New Roman"/>
          <w:b/>
          <w:bCs/>
          <w:sz w:val="48"/>
          <w:szCs w:val="48"/>
          <w:u w:val="single"/>
          <w:lang w:eastAsia="en-GB"/>
        </w:rPr>
        <w:t>Construction and the Built Environment</w:t>
      </w:r>
    </w:p>
    <w:p w:rsidR="000C3B5B" w:rsidRPr="0067704C" w:rsidRDefault="000C3B5B" w:rsidP="005E129E">
      <w:pPr>
        <w:spacing w:after="0" w:line="360" w:lineRule="atLeast"/>
        <w:outlineLvl w:val="2"/>
        <w:rPr>
          <w:rFonts w:eastAsia="Times New Roman" w:cs="Times New Roman"/>
          <w:b/>
          <w:bCs/>
          <w:sz w:val="48"/>
          <w:szCs w:val="48"/>
          <w:u w:val="single"/>
          <w:lang w:eastAsia="en-GB"/>
        </w:rPr>
      </w:pPr>
      <w:r w:rsidRPr="0067704C">
        <w:rPr>
          <w:rFonts w:eastAsia="Times New Roman" w:cs="Times New Roman"/>
          <w:b/>
          <w:bCs/>
          <w:sz w:val="48"/>
          <w:szCs w:val="48"/>
          <w:u w:val="single"/>
          <w:lang w:eastAsia="en-GB"/>
        </w:rPr>
        <w:t>Quantity Surveying</w:t>
      </w:r>
    </w:p>
    <w:p w:rsidR="005E129E" w:rsidRDefault="005E129E" w:rsidP="005E129E">
      <w:pPr>
        <w:spacing w:after="240" w:line="300" w:lineRule="atLeast"/>
        <w:outlineLvl w:val="2"/>
        <w:rPr>
          <w:rFonts w:eastAsia="Times New Roman" w:cs="Times New Roman"/>
          <w:sz w:val="24"/>
          <w:szCs w:val="24"/>
          <w:lang w:eastAsia="en-GB"/>
        </w:rPr>
      </w:pPr>
    </w:p>
    <w:p w:rsidR="00935C8E" w:rsidRDefault="00F362A7" w:rsidP="00F362A7">
      <w:pPr>
        <w:tabs>
          <w:tab w:val="left" w:pos="456"/>
        </w:tabs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The BSc/BSc (Hons) Constru</w:t>
      </w:r>
      <w:r w:rsidR="0010381F">
        <w:rPr>
          <w:sz w:val="24"/>
          <w:szCs w:val="24"/>
          <w:lang w:eastAsia="en-GB"/>
        </w:rPr>
        <w:t>ction and the Built Environment</w:t>
      </w:r>
      <w:r w:rsidRPr="00F73EE7">
        <w:rPr>
          <w:sz w:val="24"/>
          <w:szCs w:val="24"/>
          <w:lang w:eastAsia="en-GB"/>
        </w:rPr>
        <w:t xml:space="preserve"> </w:t>
      </w:r>
      <w:r w:rsidR="0067704C">
        <w:rPr>
          <w:sz w:val="24"/>
          <w:szCs w:val="24"/>
          <w:lang w:eastAsia="en-GB"/>
        </w:rPr>
        <w:t xml:space="preserve">Graduate Apprenticeship </w:t>
      </w:r>
      <w:r w:rsidRPr="00F73EE7">
        <w:rPr>
          <w:sz w:val="24"/>
          <w:szCs w:val="24"/>
          <w:lang w:eastAsia="en-GB"/>
        </w:rPr>
        <w:t xml:space="preserve">(GA) programme </w:t>
      </w:r>
      <w:r w:rsidR="0034656D">
        <w:rPr>
          <w:sz w:val="24"/>
          <w:szCs w:val="24"/>
          <w:lang w:eastAsia="en-GB"/>
        </w:rPr>
        <w:t xml:space="preserve">at Glasgow Caledonian University </w:t>
      </w:r>
      <w:r w:rsidRPr="00F73EE7">
        <w:rPr>
          <w:sz w:val="24"/>
          <w:szCs w:val="24"/>
          <w:lang w:eastAsia="en-GB"/>
        </w:rPr>
        <w:t xml:space="preserve">has been developed </w:t>
      </w:r>
      <w:r w:rsidR="0067704C">
        <w:rPr>
          <w:sz w:val="24"/>
          <w:szCs w:val="24"/>
          <w:lang w:eastAsia="en-GB"/>
        </w:rPr>
        <w:t xml:space="preserve">alongside Industry </w:t>
      </w:r>
      <w:r w:rsidRPr="00F73EE7">
        <w:rPr>
          <w:sz w:val="24"/>
          <w:szCs w:val="24"/>
          <w:lang w:eastAsia="en-GB"/>
        </w:rPr>
        <w:t>to provide apprentices with the knowledge, understanding and skills needed to becom</w:t>
      </w:r>
      <w:r w:rsidR="005A34D7">
        <w:rPr>
          <w:sz w:val="24"/>
          <w:szCs w:val="24"/>
          <w:lang w:eastAsia="en-GB"/>
        </w:rPr>
        <w:t>e effective c</w:t>
      </w:r>
      <w:r>
        <w:rPr>
          <w:sz w:val="24"/>
          <w:szCs w:val="24"/>
          <w:lang w:eastAsia="en-GB"/>
        </w:rPr>
        <w:t xml:space="preserve">onstruction </w:t>
      </w:r>
      <w:r w:rsidRPr="00F73EE7">
        <w:rPr>
          <w:sz w:val="24"/>
          <w:szCs w:val="24"/>
          <w:lang w:eastAsia="en-GB"/>
        </w:rPr>
        <w:t>pr</w:t>
      </w:r>
      <w:r>
        <w:rPr>
          <w:sz w:val="24"/>
          <w:szCs w:val="24"/>
          <w:lang w:eastAsia="en-GB"/>
        </w:rPr>
        <w:t>ofessionals capable of responding to current and future industry skills and competence requirements</w:t>
      </w:r>
      <w:r w:rsidRPr="00F73EE7">
        <w:rPr>
          <w:sz w:val="24"/>
          <w:szCs w:val="24"/>
          <w:lang w:eastAsia="en-GB"/>
        </w:rPr>
        <w:t xml:space="preserve">.  </w:t>
      </w:r>
    </w:p>
    <w:p w:rsidR="00935C8E" w:rsidRDefault="0034656D" w:rsidP="00F362A7">
      <w:pPr>
        <w:tabs>
          <w:tab w:val="left" w:pos="456"/>
        </w:tabs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Our University has a strong reputation for both Work Based Learning and Construction and the Built Environment. </w:t>
      </w:r>
      <w:r w:rsidR="00F362A7" w:rsidRPr="00F73EE7">
        <w:rPr>
          <w:sz w:val="24"/>
          <w:szCs w:val="24"/>
          <w:lang w:eastAsia="en-GB"/>
        </w:rPr>
        <w:t xml:space="preserve">Specifically, this programme of study provides work-based learning opportunities at a BSc / BSc (Hons) level.  </w:t>
      </w:r>
    </w:p>
    <w:p w:rsidR="005E6E1A" w:rsidRDefault="00F362A7" w:rsidP="00F362A7">
      <w:pPr>
        <w:tabs>
          <w:tab w:val="left" w:pos="456"/>
        </w:tabs>
        <w:rPr>
          <w:sz w:val="24"/>
          <w:szCs w:val="24"/>
          <w:lang w:eastAsia="en-GB"/>
        </w:rPr>
      </w:pPr>
      <w:r w:rsidRPr="00F73EE7">
        <w:rPr>
          <w:sz w:val="24"/>
          <w:szCs w:val="24"/>
          <w:lang w:eastAsia="en-GB"/>
        </w:rPr>
        <w:t>Apprentices combine academic study with employer specific knowledge acquisition and skills development</w:t>
      </w:r>
      <w:r w:rsidR="00513D85">
        <w:rPr>
          <w:sz w:val="24"/>
          <w:szCs w:val="24"/>
          <w:lang w:eastAsia="en-GB"/>
        </w:rPr>
        <w:t>,</w:t>
      </w:r>
      <w:r w:rsidRPr="00F73EE7">
        <w:rPr>
          <w:sz w:val="24"/>
          <w:szCs w:val="24"/>
          <w:lang w:eastAsia="en-GB"/>
        </w:rPr>
        <w:t xml:space="preserve"> enabling participants to become more effective and productive in the workplace.</w:t>
      </w:r>
      <w:r>
        <w:rPr>
          <w:sz w:val="24"/>
          <w:szCs w:val="24"/>
          <w:lang w:eastAsia="en-GB"/>
        </w:rPr>
        <w:t xml:space="preserve"> </w:t>
      </w:r>
    </w:p>
    <w:p w:rsidR="00BC3E77" w:rsidRDefault="00BC3E77" w:rsidP="000C3B5B">
      <w:pPr>
        <w:tabs>
          <w:tab w:val="left" w:pos="456"/>
        </w:tabs>
        <w:rPr>
          <w:sz w:val="24"/>
          <w:szCs w:val="24"/>
          <w:lang w:eastAsia="en-GB"/>
        </w:rPr>
      </w:pPr>
    </w:p>
    <w:p w:rsidR="00935C8E" w:rsidRDefault="00F362A7" w:rsidP="000C3B5B">
      <w:pPr>
        <w:tabs>
          <w:tab w:val="left" w:pos="456"/>
        </w:tabs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The GA programme will follow a </w:t>
      </w:r>
      <w:r w:rsidRPr="005E6E1A">
        <w:rPr>
          <w:b/>
          <w:i/>
          <w:sz w:val="24"/>
          <w:szCs w:val="24"/>
          <w:lang w:eastAsia="en-GB"/>
        </w:rPr>
        <w:t xml:space="preserve">pathways </w:t>
      </w:r>
      <w:r w:rsidR="000C3B5B">
        <w:rPr>
          <w:sz w:val="24"/>
          <w:szCs w:val="24"/>
          <w:lang w:eastAsia="en-GB"/>
        </w:rPr>
        <w:t>arrangement</w:t>
      </w:r>
      <w:r w:rsidR="0067704C">
        <w:rPr>
          <w:sz w:val="24"/>
          <w:szCs w:val="24"/>
          <w:lang w:eastAsia="en-GB"/>
        </w:rPr>
        <w:t xml:space="preserve"> with Skills Development Scotland (SDS)</w:t>
      </w:r>
      <w:r w:rsidR="000C3B5B">
        <w:rPr>
          <w:sz w:val="24"/>
          <w:szCs w:val="24"/>
          <w:lang w:eastAsia="en-GB"/>
        </w:rPr>
        <w:t>:</w:t>
      </w:r>
      <w:r>
        <w:rPr>
          <w:sz w:val="24"/>
          <w:szCs w:val="24"/>
          <w:lang w:eastAsia="en-GB"/>
        </w:rPr>
        <w:t xml:space="preserve"> with</w:t>
      </w:r>
      <w:r w:rsidRPr="00F362A7">
        <w:rPr>
          <w:b/>
          <w:sz w:val="24"/>
          <w:szCs w:val="24"/>
          <w:u w:val="single"/>
          <w:lang w:eastAsia="en-GB"/>
        </w:rPr>
        <w:t xml:space="preserve"> only</w:t>
      </w:r>
      <w:r>
        <w:rPr>
          <w:sz w:val="24"/>
          <w:szCs w:val="24"/>
          <w:lang w:eastAsia="en-GB"/>
        </w:rPr>
        <w:t xml:space="preserve"> the Quantity Surveying pathway bei</w:t>
      </w:r>
      <w:r w:rsidR="00935C8E">
        <w:rPr>
          <w:sz w:val="24"/>
          <w:szCs w:val="24"/>
          <w:lang w:eastAsia="en-GB"/>
        </w:rPr>
        <w:t>ng in place for session 2018-19. This will be a 1</w:t>
      </w:r>
      <w:r w:rsidR="00935C8E" w:rsidRPr="00935C8E">
        <w:rPr>
          <w:sz w:val="24"/>
          <w:szCs w:val="24"/>
          <w:vertAlign w:val="superscript"/>
          <w:lang w:eastAsia="en-GB"/>
        </w:rPr>
        <w:t>st</w:t>
      </w:r>
      <w:r w:rsidR="00935C8E">
        <w:rPr>
          <w:sz w:val="24"/>
          <w:szCs w:val="24"/>
          <w:lang w:eastAsia="en-GB"/>
        </w:rPr>
        <w:t xml:space="preserve"> Year intake only.</w:t>
      </w:r>
    </w:p>
    <w:p w:rsidR="000C3B5B" w:rsidRDefault="00F362A7" w:rsidP="000C3B5B">
      <w:pPr>
        <w:tabs>
          <w:tab w:val="left" w:pos="456"/>
        </w:tabs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Further pathways such as Construction Management &amp; Building Surveying </w:t>
      </w:r>
      <w:r w:rsidR="00284E1F">
        <w:rPr>
          <w:sz w:val="24"/>
          <w:szCs w:val="24"/>
          <w:lang w:eastAsia="en-GB"/>
        </w:rPr>
        <w:t xml:space="preserve">and </w:t>
      </w:r>
      <w:r w:rsidR="00935C8E">
        <w:rPr>
          <w:sz w:val="24"/>
          <w:szCs w:val="24"/>
          <w:lang w:eastAsia="en-GB"/>
        </w:rPr>
        <w:t>Recognition of Prior Learning (</w:t>
      </w:r>
      <w:r w:rsidR="00284E1F">
        <w:rPr>
          <w:sz w:val="24"/>
          <w:szCs w:val="24"/>
          <w:lang w:eastAsia="en-GB"/>
        </w:rPr>
        <w:t>RPL</w:t>
      </w:r>
      <w:r w:rsidR="00935C8E">
        <w:rPr>
          <w:sz w:val="24"/>
          <w:szCs w:val="24"/>
          <w:lang w:eastAsia="en-GB"/>
        </w:rPr>
        <w:t>)</w:t>
      </w:r>
      <w:r w:rsidR="00284E1F">
        <w:rPr>
          <w:sz w:val="24"/>
          <w:szCs w:val="24"/>
          <w:lang w:eastAsia="en-GB"/>
        </w:rPr>
        <w:t xml:space="preserve"> arrangements to enable entry to the 2</w:t>
      </w:r>
      <w:r w:rsidR="00284E1F" w:rsidRPr="00284E1F">
        <w:rPr>
          <w:sz w:val="24"/>
          <w:szCs w:val="24"/>
          <w:vertAlign w:val="superscript"/>
          <w:lang w:eastAsia="en-GB"/>
        </w:rPr>
        <w:t>nd</w:t>
      </w:r>
      <w:r w:rsidR="00284E1F">
        <w:rPr>
          <w:sz w:val="24"/>
          <w:szCs w:val="24"/>
          <w:lang w:eastAsia="en-GB"/>
        </w:rPr>
        <w:t xml:space="preserve"> year of </w:t>
      </w:r>
      <w:r w:rsidR="0010381F">
        <w:rPr>
          <w:sz w:val="24"/>
          <w:szCs w:val="24"/>
          <w:lang w:eastAsia="en-GB"/>
        </w:rPr>
        <w:t>pathways</w:t>
      </w:r>
      <w:r w:rsidR="005E6E1A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are envisage</w:t>
      </w:r>
      <w:r w:rsidR="005A34D7">
        <w:rPr>
          <w:sz w:val="24"/>
          <w:szCs w:val="24"/>
          <w:lang w:eastAsia="en-GB"/>
        </w:rPr>
        <w:t>d to commence session 2019-20 [</w:t>
      </w:r>
      <w:r>
        <w:rPr>
          <w:sz w:val="24"/>
          <w:szCs w:val="24"/>
          <w:lang w:eastAsia="en-GB"/>
        </w:rPr>
        <w:t>dependant on applications]</w:t>
      </w:r>
      <w:r w:rsidR="0010381F">
        <w:rPr>
          <w:sz w:val="24"/>
          <w:szCs w:val="24"/>
          <w:lang w:eastAsia="en-GB"/>
        </w:rPr>
        <w:t>.</w:t>
      </w:r>
    </w:p>
    <w:p w:rsidR="000C3B5B" w:rsidRDefault="000C3B5B" w:rsidP="000C3B5B">
      <w:pPr>
        <w:tabs>
          <w:tab w:val="left" w:pos="456"/>
        </w:tabs>
        <w:rPr>
          <w:sz w:val="24"/>
          <w:szCs w:val="24"/>
          <w:lang w:eastAsia="en-GB"/>
        </w:rPr>
      </w:pPr>
    </w:p>
    <w:p w:rsidR="000C3B5B" w:rsidRDefault="000C3B5B" w:rsidP="000C3B5B">
      <w:pPr>
        <w:tabs>
          <w:tab w:val="left" w:pos="456"/>
        </w:tabs>
        <w:rPr>
          <w:sz w:val="24"/>
          <w:szCs w:val="24"/>
          <w:lang w:eastAsia="en-GB"/>
        </w:rPr>
      </w:pPr>
    </w:p>
    <w:p w:rsidR="000C3B5B" w:rsidRDefault="000C3B5B" w:rsidP="000C3B5B">
      <w:pPr>
        <w:tabs>
          <w:tab w:val="left" w:pos="456"/>
        </w:tabs>
        <w:rPr>
          <w:sz w:val="24"/>
          <w:szCs w:val="24"/>
          <w:lang w:eastAsia="en-GB"/>
        </w:rPr>
      </w:pPr>
    </w:p>
    <w:p w:rsidR="00935C8E" w:rsidRDefault="00935C8E" w:rsidP="000C3B5B">
      <w:pPr>
        <w:tabs>
          <w:tab w:val="left" w:pos="456"/>
        </w:tabs>
        <w:rPr>
          <w:sz w:val="24"/>
          <w:szCs w:val="24"/>
          <w:lang w:eastAsia="en-GB"/>
        </w:rPr>
      </w:pPr>
    </w:p>
    <w:p w:rsidR="005E129E" w:rsidRPr="0067704C" w:rsidRDefault="005E129E" w:rsidP="000C3B5B">
      <w:pPr>
        <w:tabs>
          <w:tab w:val="left" w:pos="456"/>
        </w:tabs>
        <w:rPr>
          <w:sz w:val="24"/>
          <w:szCs w:val="24"/>
          <w:u w:val="single"/>
          <w:lang w:eastAsia="en-GB"/>
        </w:rPr>
      </w:pPr>
      <w:r w:rsidRPr="0067704C">
        <w:rPr>
          <w:rFonts w:eastAsia="Times New Roman" w:cs="Times New Roman"/>
          <w:b/>
          <w:bCs/>
          <w:sz w:val="36"/>
          <w:szCs w:val="36"/>
          <w:u w:val="single"/>
          <w:lang w:eastAsia="en-GB"/>
        </w:rPr>
        <w:lastRenderedPageBreak/>
        <w:t xml:space="preserve">What </w:t>
      </w:r>
      <w:r w:rsidR="007B1FE8">
        <w:rPr>
          <w:rFonts w:eastAsia="Times New Roman" w:cs="Times New Roman"/>
          <w:b/>
          <w:bCs/>
          <w:sz w:val="36"/>
          <w:szCs w:val="36"/>
          <w:u w:val="single"/>
          <w:lang w:eastAsia="en-GB"/>
        </w:rPr>
        <w:t>the A</w:t>
      </w:r>
      <w:bookmarkStart w:id="0" w:name="_GoBack"/>
      <w:bookmarkEnd w:id="0"/>
      <w:r w:rsidR="0067704C" w:rsidRPr="0067704C">
        <w:rPr>
          <w:rFonts w:eastAsia="Times New Roman" w:cs="Times New Roman"/>
          <w:b/>
          <w:bCs/>
          <w:sz w:val="36"/>
          <w:szCs w:val="36"/>
          <w:u w:val="single"/>
          <w:lang w:eastAsia="en-GB"/>
        </w:rPr>
        <w:t>pprentice will</w:t>
      </w:r>
      <w:r w:rsidRPr="0067704C">
        <w:rPr>
          <w:rFonts w:eastAsia="Times New Roman" w:cs="Times New Roman"/>
          <w:b/>
          <w:bCs/>
          <w:sz w:val="36"/>
          <w:szCs w:val="36"/>
          <w:u w:val="single"/>
          <w:lang w:eastAsia="en-GB"/>
        </w:rPr>
        <w:t xml:space="preserve"> study</w:t>
      </w:r>
    </w:p>
    <w:p w:rsidR="000C3B5B" w:rsidRDefault="000C3B5B"/>
    <w:tbl>
      <w:tblPr>
        <w:tblW w:w="14662" w:type="dxa"/>
        <w:tblInd w:w="93" w:type="dxa"/>
        <w:tblLook w:val="04A0" w:firstRow="1" w:lastRow="0" w:firstColumn="1" w:lastColumn="0" w:noHBand="0" w:noVBand="1"/>
      </w:tblPr>
      <w:tblGrid>
        <w:gridCol w:w="2780"/>
        <w:gridCol w:w="3047"/>
        <w:gridCol w:w="3910"/>
        <w:gridCol w:w="2395"/>
        <w:gridCol w:w="2530"/>
      </w:tblGrid>
      <w:tr w:rsidR="000C3B5B" w:rsidRPr="000C3B5B" w:rsidTr="000C3B5B">
        <w:trPr>
          <w:trHeight w:val="351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3B5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1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3B5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3B5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3B5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4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3B5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Electives</w:t>
            </w:r>
          </w:p>
        </w:tc>
      </w:tr>
      <w:tr w:rsidR="000C3B5B" w:rsidRPr="000C3B5B" w:rsidTr="000C3B5B">
        <w:trPr>
          <w:trHeight w:val="87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Property Economics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C3B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Construction Technology 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Construction Cost Studies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Project Management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GB"/>
              </w:rPr>
            </w:pPr>
            <w:r w:rsidRPr="000C3B5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GB"/>
              </w:rPr>
              <w:t>o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0C3B5B">
              <w:rPr>
                <w:rFonts w:ascii="Calibri" w:eastAsia="Times New Roman" w:hAnsi="Calibri" w:cs="Courier New"/>
                <w:color w:val="000000"/>
                <w:sz w:val="24"/>
                <w:szCs w:val="24"/>
                <w:lang w:eastAsia="en-GB"/>
              </w:rPr>
              <w:t>Dispute Resolution</w:t>
            </w:r>
          </w:p>
        </w:tc>
      </w:tr>
      <w:tr w:rsidR="000C3B5B" w:rsidRPr="000C3B5B" w:rsidTr="000C3B5B">
        <w:trPr>
          <w:trHeight w:val="124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Construction Technology 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Construction Process Management 1 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Measurement 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Construction Contracts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GB"/>
              </w:rPr>
            </w:pPr>
            <w:r w:rsidRPr="000C3B5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GB"/>
              </w:rPr>
              <w:t>o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0C3B5B">
              <w:rPr>
                <w:rFonts w:ascii="Calibri" w:eastAsia="Times New Roman" w:hAnsi="Calibri" w:cs="Courier New"/>
                <w:color w:val="000000"/>
                <w:sz w:val="24"/>
                <w:szCs w:val="24"/>
                <w:lang w:eastAsia="en-GB"/>
              </w:rPr>
              <w:t>Construction &amp; Project Commercial Management</w:t>
            </w:r>
          </w:p>
        </w:tc>
      </w:tr>
      <w:tr w:rsidR="000C3B5B" w:rsidRPr="000C3B5B" w:rsidTr="000C3B5B">
        <w:trPr>
          <w:trHeight w:val="87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Professional Orientation and Practice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Measurement 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Construction Technology 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Value and Risk Appraisal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GB"/>
              </w:rPr>
            </w:pPr>
            <w:r w:rsidRPr="000C3B5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GB"/>
              </w:rPr>
              <w:t>o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0C3B5B">
              <w:rPr>
                <w:rFonts w:ascii="Calibri" w:eastAsia="Times New Roman" w:hAnsi="Calibri" w:cs="Courier New"/>
                <w:color w:val="000000"/>
                <w:sz w:val="24"/>
                <w:szCs w:val="24"/>
                <w:lang w:eastAsia="en-GB"/>
              </w:rPr>
              <w:t>Negotiation</w:t>
            </w:r>
          </w:p>
        </w:tc>
      </w:tr>
      <w:tr w:rsidR="000C3B5B" w:rsidRPr="000C3B5B" w:rsidTr="000C3B5B">
        <w:trPr>
          <w:trHeight w:val="87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Construction Materials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Construction Contracts 2 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Estimating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Dissertation (Project)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B5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3B5B" w:rsidRPr="000C3B5B" w:rsidTr="000C3B5B">
        <w:trPr>
          <w:trHeight w:val="87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Construction Contracts 1 </w:t>
            </w:r>
            <w:r w:rsidRPr="000C3B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Construction Development &amp; Economics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Contemporary QS Practice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B5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B5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3B5B" w:rsidRPr="000C3B5B" w:rsidTr="000C3B5B">
        <w:trPr>
          <w:trHeight w:val="87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Work Based Learning (WBL) 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Work Based Learning (WBL) 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</w:pPr>
            <w:r w:rsidRPr="000C3B5B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en-GB"/>
              </w:rPr>
              <w:t></w:t>
            </w:r>
            <w:r w:rsidRPr="000C3B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0C3B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Work Based Learning (WBL) 3 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B5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C3B5B" w:rsidRPr="000C3B5B" w:rsidRDefault="000C3B5B" w:rsidP="000C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3B5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0C3B5B" w:rsidRDefault="000C3B5B"/>
    <w:p w:rsidR="00BC3E77" w:rsidRPr="0010381F" w:rsidRDefault="00BC3E77" w:rsidP="00BC3E77">
      <w:pPr>
        <w:spacing w:after="24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BC3E77" w:rsidRPr="0067704C" w:rsidRDefault="00BC3E77" w:rsidP="00BC3E77">
      <w:pPr>
        <w:spacing w:after="240" w:line="300" w:lineRule="atLeast"/>
        <w:outlineLvl w:val="2"/>
        <w:rPr>
          <w:rFonts w:eastAsia="Times New Roman" w:cs="Times New Roman"/>
          <w:b/>
          <w:bCs/>
          <w:sz w:val="36"/>
          <w:szCs w:val="36"/>
          <w:u w:val="single"/>
          <w:lang w:eastAsia="en-GB"/>
        </w:rPr>
      </w:pPr>
      <w:r w:rsidRPr="0067704C">
        <w:rPr>
          <w:rFonts w:eastAsia="Times New Roman" w:cs="Times New Roman"/>
          <w:b/>
          <w:bCs/>
          <w:sz w:val="36"/>
          <w:szCs w:val="36"/>
          <w:u w:val="single"/>
          <w:lang w:eastAsia="en-GB"/>
        </w:rPr>
        <w:lastRenderedPageBreak/>
        <w:t>Contact for further information</w:t>
      </w:r>
    </w:p>
    <w:p w:rsidR="00BC3E77" w:rsidRPr="005E129E" w:rsidRDefault="00BC3E77" w:rsidP="00BC3E77">
      <w:pPr>
        <w:numPr>
          <w:ilvl w:val="0"/>
          <w:numId w:val="6"/>
        </w:numPr>
        <w:spacing w:before="60" w:after="60" w:line="240" w:lineRule="auto"/>
        <w:ind w:left="48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Mike Galbraith </w:t>
      </w:r>
    </w:p>
    <w:p w:rsidR="00BC3E77" w:rsidRPr="005E129E" w:rsidRDefault="00BC3E77" w:rsidP="00BC3E77">
      <w:pPr>
        <w:numPr>
          <w:ilvl w:val="0"/>
          <w:numId w:val="6"/>
        </w:numPr>
        <w:spacing w:after="0" w:line="240" w:lineRule="auto"/>
        <w:ind w:left="480"/>
        <w:rPr>
          <w:rFonts w:eastAsia="Times New Roman" w:cs="Times New Roman"/>
          <w:sz w:val="24"/>
          <w:szCs w:val="24"/>
          <w:lang w:eastAsia="en-GB"/>
        </w:rPr>
      </w:pPr>
      <w:hyperlink r:id="rId6" w:history="1">
        <w:r w:rsidRPr="0094231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eastAsia="en-GB"/>
          </w:rPr>
          <w:t>mike.galbraith@gcu.ac.uk</w:t>
        </w:r>
      </w:hyperlink>
      <w:r>
        <w:rPr>
          <w:rFonts w:eastAsia="Times New Roman" w:cs="Times New Roman"/>
          <w:color w:val="295B84"/>
          <w:sz w:val="24"/>
          <w:szCs w:val="24"/>
          <w:u w:val="single"/>
          <w:bdr w:val="none" w:sz="0" w:space="0" w:color="auto" w:frame="1"/>
          <w:lang w:eastAsia="en-GB"/>
        </w:rPr>
        <w:t xml:space="preserve">  </w:t>
      </w:r>
    </w:p>
    <w:p w:rsidR="00BC3E77" w:rsidRPr="005E129E" w:rsidRDefault="00BC3E77" w:rsidP="00BC3E77">
      <w:pPr>
        <w:numPr>
          <w:ilvl w:val="0"/>
          <w:numId w:val="6"/>
        </w:numPr>
        <w:spacing w:before="60" w:after="60" w:line="240" w:lineRule="auto"/>
        <w:ind w:left="48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+44(0)141 331 3172</w:t>
      </w:r>
    </w:p>
    <w:p w:rsidR="000C3B5B" w:rsidRDefault="000C3B5B"/>
    <w:sectPr w:rsidR="000C3B5B" w:rsidSect="000C3B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F83"/>
    <w:multiLevelType w:val="multilevel"/>
    <w:tmpl w:val="5C22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2BC5"/>
    <w:multiLevelType w:val="hybridMultilevel"/>
    <w:tmpl w:val="9C90B4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9206C"/>
    <w:multiLevelType w:val="multilevel"/>
    <w:tmpl w:val="0064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854FB"/>
    <w:multiLevelType w:val="hybridMultilevel"/>
    <w:tmpl w:val="B8FA07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E618F"/>
    <w:multiLevelType w:val="hybridMultilevel"/>
    <w:tmpl w:val="00226E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00F54"/>
    <w:multiLevelType w:val="multilevel"/>
    <w:tmpl w:val="7C58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2582A"/>
    <w:multiLevelType w:val="hybridMultilevel"/>
    <w:tmpl w:val="1568BF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47D6"/>
    <w:multiLevelType w:val="hybridMultilevel"/>
    <w:tmpl w:val="5EFED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256A"/>
    <w:multiLevelType w:val="multilevel"/>
    <w:tmpl w:val="3438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8467B"/>
    <w:multiLevelType w:val="multilevel"/>
    <w:tmpl w:val="3028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E5FF4"/>
    <w:multiLevelType w:val="multilevel"/>
    <w:tmpl w:val="9F08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25C2C"/>
    <w:multiLevelType w:val="hybridMultilevel"/>
    <w:tmpl w:val="B29226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9E"/>
    <w:rsid w:val="000C3B5B"/>
    <w:rsid w:val="0010381F"/>
    <w:rsid w:val="001871F0"/>
    <w:rsid w:val="00284E1F"/>
    <w:rsid w:val="00302C84"/>
    <w:rsid w:val="0034656D"/>
    <w:rsid w:val="00513D85"/>
    <w:rsid w:val="005A34D7"/>
    <w:rsid w:val="005E129E"/>
    <w:rsid w:val="005E6E1A"/>
    <w:rsid w:val="0067704C"/>
    <w:rsid w:val="007B1FE8"/>
    <w:rsid w:val="00806D4E"/>
    <w:rsid w:val="00935C8E"/>
    <w:rsid w:val="00BC3E77"/>
    <w:rsid w:val="00EE0B27"/>
    <w:rsid w:val="00F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.galbraith@gcu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14</cp:revision>
  <dcterms:created xsi:type="dcterms:W3CDTF">2018-03-16T11:47:00Z</dcterms:created>
  <dcterms:modified xsi:type="dcterms:W3CDTF">2018-03-16T12:21:00Z</dcterms:modified>
</cp:coreProperties>
</file>